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/>
      </w:pPr>
      <w:r>
        <w:rPr>
          <w:rFonts w:ascii="Arial" w:cs="Arial" w:eastAsia="Arial" w:hAnsi="Arial"/>
          <w:b/>
          <w:bCs/>
          <w:color w:val="0F172A"/>
          <w:sz w:val="36"/>
          <w:szCs w:val="36"/>
        </w:rPr>
        <w:t xml:space="preserve">Cronoprogramma lavori (Gantt)</w:t>
      </w:r>
    </w:p>
    <w:p>
      <w:pPr>
        <w:spacing w:after="200" w:before="0"/>
      </w:pPr>
      <w:r>
        <w:rPr>
          <w:rFonts w:ascii="Arial" w:cs="Arial" w:eastAsia="Arial" w:hAnsi="Arial"/>
          <w:color w:val="64748B"/>
          <w:sz w:val="18"/>
          <w:szCs w:val="18"/>
        </w:rPr>
        <w:t xml:space="preserve">Cronoprogramma su 12 settimane: una riga per fase o lavorazione, inizio, fine e dipendenza. Excel calcola i giorni lavorativi (festivi dedotti) e segna le settimane interessate.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85"/>
        <w:gridCol w:w="7285"/>
      </w:tblGrid>
      <w:tr>
        <w:tc>
          <w:tcPr>
            <w:tcW w:type="dxa" w:w="7285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24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Impresa</w:t>
            </w:r>
          </w:p>
        </w:tc>
        <w:tc>
          <w:tcPr>
            <w:tcW w:type="dxa" w:w="7285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24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Cantiere / opera</w:t>
            </w:r>
          </w:p>
        </w:tc>
      </w:tr>
      <w:tr>
        <w:tc>
          <w:tcPr>
            <w:tcW w:type="dxa" w:w="7285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24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Committente / direzione lavori</w:t>
            </w:r>
          </w:p>
        </w:tc>
        <w:tc>
          <w:tcPr>
            <w:tcW w:type="dxa" w:w="7285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24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N. commessa</w:t>
            </w:r>
          </w:p>
        </w:tc>
      </w:tr>
      <w:tr>
        <w:tc>
          <w:tcPr>
            <w:tcW w:type="dxa" w:w="7285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24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Redatto da</w:t>
            </w:r>
          </w:p>
        </w:tc>
        <w:tc>
          <w:tcPr>
            <w:tcW w:type="dxa" w:w="7285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24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Versione / data di aggiornamento</w:t>
            </w:r>
          </w:p>
        </w:tc>
      </w:tr>
    </w:tbl>
    <w:p>
      <w:pPr>
        <w:keepNext/>
        <w:spacing w:after="100" w:before="240"/>
      </w:pPr>
      <w:r>
        <w:rPr>
          <w:rFonts w:ascii="Arial" w:cs="Arial" w:eastAsia="Arial" w:hAnsi="Arial"/>
          <w:b/>
          <w:bCs/>
          <w:color w:val="0F172A"/>
          <w:sz w:val="22"/>
          <w:szCs w:val="22"/>
        </w:rPr>
        <w:t xml:space="preserve">Avvio del cronoprogramma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7"/>
        <w:gridCol w:w="5740"/>
        <w:gridCol w:w="3974"/>
      </w:tblGrid>
      <w:tr>
        <w:trPr>
          <w:tblHeader/>
        </w:trPr>
        <w:tc>
          <w:tcPr>
            <w:tcW w:type="dxa" w:w="485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Lunedì della settimana S1 (data)</w:t>
            </w:r>
          </w:p>
        </w:tc>
        <w:tc>
          <w:tcPr>
            <w:tcW w:type="dxa" w:w="57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Comune / cantone del cantiere</w:t>
            </w:r>
          </w:p>
        </w:tc>
        <w:tc>
          <w:tcPr>
            <w:tcW w:type="dxa" w:w="397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Orario giornaliero (h)</w:t>
            </w:r>
          </w:p>
        </w:tc>
      </w:tr>
      <w:tr>
        <w:trPr>
          <w:trHeight w:val="400" w:hRule="atLeast"/>
        </w:trPr>
        <w:tc>
          <w:tcPr>
            <w:tcW w:type="dxa" w:w="485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74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397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after="100" w:before="240"/>
      </w:pPr>
      <w:r>
        <w:rPr>
          <w:rFonts w:ascii="Arial" w:cs="Arial" w:eastAsia="Arial" w:hAnsi="Arial"/>
          <w:b/>
          <w:bCs/>
          <w:color w:val="0F172A"/>
          <w:sz w:val="22"/>
          <w:szCs w:val="22"/>
        </w:rPr>
        <w:t xml:space="preserve">Festivi e chiusure (Ticino 2027 precompilato)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77"/>
        <w:gridCol w:w="10793"/>
      </w:tblGrid>
      <w:tr>
        <w:trPr>
          <w:tblHeader/>
        </w:trPr>
        <w:tc>
          <w:tcPr>
            <w:tcW w:type="dxa" w:w="377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Data</w:t>
            </w:r>
          </w:p>
        </w:tc>
        <w:tc>
          <w:tcPr>
            <w:tcW w:type="dxa" w:w="107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Festivo / chiusura (ferie edili, ponti)</w:t>
            </w:r>
          </w:p>
        </w:tc>
      </w:tr>
      <w:tr>
        <w:trPr>
          <w:trHeight w:val="400" w:hRule="atLeast"/>
        </w:trPr>
        <w:tc>
          <w:tcPr>
            <w:tcW w:type="dxa" w:w="377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07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>Capodanno (ve 1.1.2027)</w:t>
            </w:r>
          </w:p>
        </w:tc>
      </w:tr>
      <w:tr>
        <w:trPr>
          <w:trHeight w:val="400" w:hRule="atLeast"/>
        </w:trPr>
        <w:tc>
          <w:tcPr>
            <w:tcW w:type="dxa" w:w="377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07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>Epifania (me 6.1.2027)</w:t>
            </w:r>
          </w:p>
        </w:tc>
      </w:tr>
      <w:tr>
        <w:trPr>
          <w:trHeight w:val="400" w:hRule="atLeast"/>
        </w:trPr>
        <w:tc>
          <w:tcPr>
            <w:tcW w:type="dxa" w:w="377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07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>San Giuseppe (ve 19.3.2027)</w:t>
            </w:r>
          </w:p>
        </w:tc>
      </w:tr>
      <w:tr>
        <w:trPr>
          <w:trHeight w:val="400" w:hRule="atLeast"/>
        </w:trPr>
        <w:tc>
          <w:tcPr>
            <w:tcW w:type="dxa" w:w="377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07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>Lunedì di Pasqua (lu 29.3.2027)</w:t>
            </w:r>
          </w:p>
        </w:tc>
      </w:tr>
      <w:tr>
        <w:trPr>
          <w:trHeight w:val="400" w:hRule="atLeast"/>
        </w:trPr>
        <w:tc>
          <w:tcPr>
            <w:tcW w:type="dxa" w:w="377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07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>Ascensione (gi 6.5.2027)</w:t>
            </w:r>
          </w:p>
        </w:tc>
      </w:tr>
      <w:tr>
        <w:trPr>
          <w:trHeight w:val="400" w:hRule="atLeast"/>
        </w:trPr>
        <w:tc>
          <w:tcPr>
            <w:tcW w:type="dxa" w:w="377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07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>Lunedì di Pentecoste (lu 17.5.2027)</w:t>
            </w:r>
          </w:p>
        </w:tc>
      </w:tr>
      <w:tr>
        <w:trPr>
          <w:trHeight w:val="400" w:hRule="atLeast"/>
        </w:trPr>
        <w:tc>
          <w:tcPr>
            <w:tcW w:type="dxa" w:w="377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07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>Corpus Domini (gi 27.5.2027)</w:t>
            </w:r>
          </w:p>
        </w:tc>
      </w:tr>
      <w:tr>
        <w:trPr>
          <w:trHeight w:val="400" w:hRule="atLeast"/>
        </w:trPr>
        <w:tc>
          <w:tcPr>
            <w:tcW w:type="dxa" w:w="377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07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>Santi Pietro e Paolo (ma 29.6.2027)</w:t>
            </w:r>
          </w:p>
        </w:tc>
      </w:tr>
      <w:tr>
        <w:trPr>
          <w:trHeight w:val="400" w:hRule="atLeast"/>
        </w:trPr>
        <w:tc>
          <w:tcPr>
            <w:tcW w:type="dxa" w:w="377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07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>Ognissanti (lu 1.11.2027)</w:t>
            </w:r>
          </w:p>
        </w:tc>
      </w:tr>
      <w:tr>
        <w:trPr>
          <w:trHeight w:val="400" w:hRule="atLeast"/>
        </w:trPr>
        <w:tc>
          <w:tcPr>
            <w:tcW w:type="dxa" w:w="377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07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>Immacolata (me 8.12.2027)</w:t>
            </w:r>
          </w:p>
        </w:tc>
      </w:tr>
      <w:tr>
        <w:trPr>
          <w:trHeight w:val="400" w:hRule="atLeast"/>
        </w:trPr>
        <w:tc>
          <w:tcPr>
            <w:tcW w:type="dxa" w:w="377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07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77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07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77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07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77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07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color w:val="64748B"/>
          <w:sz w:val="18"/>
          <w:szCs w:val="18"/>
        </w:rPr>
        <w:t xml:space="preserve">Istruzioni: inserite il lunedì della settimana S1, poi inizio e fine di ogni fase (date). Excel calcola i giorni lavorativi da lunedì a venerdì, deduce le date della tabella dei festivi e segna ogni settimana interessata con un quadratino pieno (in PDF e Word: annerite le caselle a mano). «Prec.» (fase precedente): numero della fase che deve essere conclusa prima; «%»: avanzamento. Per cantieri fuori Ticino o per un altro anno sostituite i festivi con quelli del luogo del cantiere.</w:t>
      </w:r>
    </w:p>
    <w:p>
      <w:pPr>
        <w:keepNext/>
        <w:spacing w:after="100" w:before="240"/>
      </w:pPr>
      <w:r>
        <w:rPr>
          <w:rFonts w:ascii="Arial" w:cs="Arial" w:eastAsia="Arial" w:hAnsi="Arial"/>
          <w:b/>
          <w:bCs/>
          <w:color w:val="0F172A"/>
          <w:sz w:val="22"/>
          <w:szCs w:val="22"/>
        </w:rPr>
        <w:t xml:space="preserve">Cronoprogramma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9"/>
        <w:gridCol w:w="2934"/>
        <w:gridCol w:w="1565"/>
        <w:gridCol w:w="978"/>
        <w:gridCol w:w="978"/>
        <w:gridCol w:w="684"/>
        <w:gridCol w:w="587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>
        <w:trPr>
          <w:tblHeader/>
        </w:trPr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N.</w:t>
            </w:r>
          </w:p>
        </w:tc>
        <w:tc>
          <w:tcPr>
            <w:tcW w:type="dxa" w:w="293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Fase / lavorazione</w:t>
            </w:r>
          </w:p>
        </w:tc>
        <w:tc>
          <w:tcPr>
            <w:tcW w:type="dxa" w:w="156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Impresa / squadra</w:t>
            </w:r>
          </w:p>
        </w:tc>
        <w:tc>
          <w:tcPr>
            <w:tcW w:type="dxa" w:w="97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Inizio</w:t>
            </w:r>
          </w:p>
        </w:tc>
        <w:tc>
          <w:tcPr>
            <w:tcW w:type="dxa" w:w="97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Fine</w:t>
            </w:r>
          </w:p>
        </w:tc>
        <w:tc>
          <w:tcPr>
            <w:tcW w:type="dxa" w:w="68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Giorni</w:t>
            </w:r>
          </w:p>
        </w:tc>
        <w:tc>
          <w:tcPr>
            <w:tcW w:type="dxa" w:w="58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Prec.</w:t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%</w:t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S1</w:t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S2</w:t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S3</w:t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S4</w:t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S5</w:t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S6</w:t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S7</w:t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S8</w:t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S9</w:t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S10</w:t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S11</w:t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S12</w:t>
            </w:r>
          </w:p>
        </w:tc>
      </w:tr>
      <w:tr>
        <w:trPr>
          <w:trHeight w:val="400" w:hRule="atLeast"/>
        </w:trPr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>1</w:t>
            </w:r>
          </w:p>
        </w:tc>
        <w:tc>
          <w:tcPr>
            <w:tcW w:type="dxa" w:w="293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>Impianto di cantiere</w:t>
            </w:r>
          </w:p>
        </w:tc>
        <w:tc>
          <w:tcPr>
            <w:tcW w:type="dxa" w:w="156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7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7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68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8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>2</w:t>
            </w:r>
          </w:p>
        </w:tc>
        <w:tc>
          <w:tcPr>
            <w:tcW w:type="dxa" w:w="293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>Demolizioni, sgomberi</w:t>
            </w:r>
          </w:p>
        </w:tc>
        <w:tc>
          <w:tcPr>
            <w:tcW w:type="dxa" w:w="156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7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7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68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8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>3</w:t>
            </w:r>
          </w:p>
        </w:tc>
        <w:tc>
          <w:tcPr>
            <w:tcW w:type="dxa" w:w="293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>Scavi</w:t>
            </w:r>
          </w:p>
        </w:tc>
        <w:tc>
          <w:tcPr>
            <w:tcW w:type="dxa" w:w="156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7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7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68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8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>4</w:t>
            </w:r>
          </w:p>
        </w:tc>
        <w:tc>
          <w:tcPr>
            <w:tcW w:type="dxa" w:w="293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>Fondazioni, platea</w:t>
            </w:r>
          </w:p>
        </w:tc>
        <w:tc>
          <w:tcPr>
            <w:tcW w:type="dxa" w:w="156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7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7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68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8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>5</w:t>
            </w:r>
          </w:p>
        </w:tc>
        <w:tc>
          <w:tcPr>
            <w:tcW w:type="dxa" w:w="293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>Murature, cemento armato</w:t>
            </w:r>
          </w:p>
        </w:tc>
        <w:tc>
          <w:tcPr>
            <w:tcW w:type="dxa" w:w="156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7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7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68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8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>6</w:t>
            </w:r>
          </w:p>
        </w:tc>
        <w:tc>
          <w:tcPr>
            <w:tcW w:type="dxa" w:w="293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>Tetto, lattoniere</w:t>
            </w:r>
          </w:p>
        </w:tc>
        <w:tc>
          <w:tcPr>
            <w:tcW w:type="dxa" w:w="156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7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7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68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8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>7</w:t>
            </w:r>
          </w:p>
        </w:tc>
        <w:tc>
          <w:tcPr>
            <w:tcW w:type="dxa" w:w="293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>Serramenti (edificio chiuso)</w:t>
            </w:r>
          </w:p>
        </w:tc>
        <w:tc>
          <w:tcPr>
            <w:tcW w:type="dxa" w:w="156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7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7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68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8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>8</w:t>
            </w:r>
          </w:p>
        </w:tc>
        <w:tc>
          <w:tcPr>
            <w:tcW w:type="dxa" w:w="293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>Impianto elettrico – 1ª fase</w:t>
            </w:r>
          </w:p>
        </w:tc>
        <w:tc>
          <w:tcPr>
            <w:tcW w:type="dxa" w:w="156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7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7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68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8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>9</w:t>
            </w:r>
          </w:p>
        </w:tc>
        <w:tc>
          <w:tcPr>
            <w:tcW w:type="dxa" w:w="293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>Impianto sanitario – 1ª fase (condotte)</w:t>
            </w:r>
          </w:p>
        </w:tc>
        <w:tc>
          <w:tcPr>
            <w:tcW w:type="dxa" w:w="156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7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7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68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8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>10</w:t>
            </w:r>
          </w:p>
        </w:tc>
        <w:tc>
          <w:tcPr>
            <w:tcW w:type="dxa" w:w="293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>Riscaldamento, ventilazione</w:t>
            </w:r>
          </w:p>
        </w:tc>
        <w:tc>
          <w:tcPr>
            <w:tcW w:type="dxa" w:w="156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7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7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68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8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>11</w:t>
            </w:r>
          </w:p>
        </w:tc>
        <w:tc>
          <w:tcPr>
            <w:tcW w:type="dxa" w:w="293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>Sottofondi (+ tempo di asciugatura)</w:t>
            </w:r>
          </w:p>
        </w:tc>
        <w:tc>
          <w:tcPr>
            <w:tcW w:type="dxa" w:w="156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7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7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68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8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>12</w:t>
            </w:r>
          </w:p>
        </w:tc>
        <w:tc>
          <w:tcPr>
            <w:tcW w:type="dxa" w:w="293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>Intonaci, pareti divisorie</w:t>
            </w:r>
          </w:p>
        </w:tc>
        <w:tc>
          <w:tcPr>
            <w:tcW w:type="dxa" w:w="156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7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7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68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8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>13</w:t>
            </w:r>
          </w:p>
        </w:tc>
        <w:tc>
          <w:tcPr>
            <w:tcW w:type="dxa" w:w="293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>Opere da falegname</w:t>
            </w:r>
          </w:p>
        </w:tc>
        <w:tc>
          <w:tcPr>
            <w:tcW w:type="dxa" w:w="156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7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7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68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8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>14</w:t>
            </w:r>
          </w:p>
        </w:tc>
        <w:tc>
          <w:tcPr>
            <w:tcW w:type="dxa" w:w="293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>Piastrelle, rivestimenti</w:t>
            </w:r>
          </w:p>
        </w:tc>
        <w:tc>
          <w:tcPr>
            <w:tcW w:type="dxa" w:w="156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7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7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68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8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>15</w:t>
            </w:r>
          </w:p>
        </w:tc>
        <w:tc>
          <w:tcPr>
            <w:tcW w:type="dxa" w:w="293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>Tinteggi</w:t>
            </w:r>
          </w:p>
        </w:tc>
        <w:tc>
          <w:tcPr>
            <w:tcW w:type="dxa" w:w="156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7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7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68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8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>16</w:t>
            </w:r>
          </w:p>
        </w:tc>
        <w:tc>
          <w:tcPr>
            <w:tcW w:type="dxa" w:w="293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>Pavimenti</w:t>
            </w:r>
          </w:p>
        </w:tc>
        <w:tc>
          <w:tcPr>
            <w:tcW w:type="dxa" w:w="156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7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7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68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8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>17</w:t>
            </w:r>
          </w:p>
        </w:tc>
        <w:tc>
          <w:tcPr>
            <w:tcW w:type="dxa" w:w="293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>Impianti – 2ª fase (finiture)</w:t>
            </w:r>
          </w:p>
        </w:tc>
        <w:tc>
          <w:tcPr>
            <w:tcW w:type="dxa" w:w="156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7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7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68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8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>18</w:t>
            </w:r>
          </w:p>
        </w:tc>
        <w:tc>
          <w:tcPr>
            <w:tcW w:type="dxa" w:w="293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>Pulizia finale</w:t>
            </w:r>
          </w:p>
        </w:tc>
        <w:tc>
          <w:tcPr>
            <w:tcW w:type="dxa" w:w="156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7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7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68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8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>19</w:t>
            </w:r>
          </w:p>
        </w:tc>
        <w:tc>
          <w:tcPr>
            <w:tcW w:type="dxa" w:w="293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>Collaudo e consegna dell’opera</w:t>
            </w:r>
          </w:p>
        </w:tc>
        <w:tc>
          <w:tcPr>
            <w:tcW w:type="dxa" w:w="156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7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7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68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8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>20</w:t>
            </w:r>
          </w:p>
        </w:tc>
        <w:tc>
          <w:tcPr>
            <w:tcW w:type="dxa" w:w="293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>Eliminazione dei difetti</w:t>
            </w:r>
          </w:p>
        </w:tc>
        <w:tc>
          <w:tcPr>
            <w:tcW w:type="dxa" w:w="156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7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7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68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8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>21</w:t>
            </w:r>
          </w:p>
        </w:tc>
        <w:tc>
          <w:tcPr>
            <w:tcW w:type="dxa" w:w="293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56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7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7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68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8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>22</w:t>
            </w:r>
          </w:p>
        </w:tc>
        <w:tc>
          <w:tcPr>
            <w:tcW w:type="dxa" w:w="293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56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7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7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68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8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>23</w:t>
            </w:r>
          </w:p>
        </w:tc>
        <w:tc>
          <w:tcPr>
            <w:tcW w:type="dxa" w:w="293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56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7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7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68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8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>24</w:t>
            </w:r>
          </w:p>
        </w:tc>
        <w:tc>
          <w:tcPr>
            <w:tcW w:type="dxa" w:w="293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56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7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7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68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8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after="100" w:before="240"/>
      </w:pPr>
      <w:r>
        <w:rPr>
          <w:rFonts w:ascii="Arial" w:cs="Arial" w:eastAsia="Arial" w:hAnsi="Arial"/>
          <w:b/>
          <w:bCs/>
          <w:color w:val="0F172A"/>
          <w:sz w:val="22"/>
          <w:szCs w:val="22"/>
        </w:rPr>
        <w:t xml:space="preserve">Scadenze principali (milestone)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83"/>
        <w:gridCol w:w="2033"/>
        <w:gridCol w:w="2033"/>
        <w:gridCol w:w="2372"/>
        <w:gridCol w:w="3050"/>
      </w:tblGrid>
      <w:tr>
        <w:trPr>
          <w:tblHeader/>
        </w:trPr>
        <w:tc>
          <w:tcPr>
            <w:tcW w:type="dxa" w:w="508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Scadenza</w:t>
            </w:r>
          </w:p>
        </w:tc>
        <w:tc>
          <w:tcPr>
            <w:tcW w:type="dxa" w:w="203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Data prevista</w:t>
            </w:r>
          </w:p>
        </w:tc>
        <w:tc>
          <w:tcPr>
            <w:tcW w:type="dxa" w:w="203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Data effettiva</w:t>
            </w:r>
          </w:p>
        </w:tc>
        <w:tc>
          <w:tcPr>
            <w:tcW w:type="dxa" w:w="237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Scarto (giorni lav.)</w:t>
            </w:r>
          </w:p>
        </w:tc>
        <w:tc>
          <w:tcPr>
            <w:tcW w:type="dxa" w:w="305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Responsabile</w:t>
            </w:r>
          </w:p>
        </w:tc>
      </w:tr>
      <w:tr>
        <w:trPr>
          <w:trHeight w:val="400" w:hRule="atLeast"/>
        </w:trPr>
        <w:tc>
          <w:tcPr>
            <w:tcW w:type="dxa" w:w="508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>Inizio lavori</w:t>
            </w:r>
          </w:p>
        </w:tc>
        <w:tc>
          <w:tcPr>
            <w:tcW w:type="dxa" w:w="203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37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305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08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>Edificio chiuso (tetto e serramenti)</w:t>
            </w:r>
          </w:p>
        </w:tc>
        <w:tc>
          <w:tcPr>
            <w:tcW w:type="dxa" w:w="203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37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305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08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>Fine opere strutturali</w:t>
            </w:r>
          </w:p>
        </w:tc>
        <w:tc>
          <w:tcPr>
            <w:tcW w:type="dxa" w:w="203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37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305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08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>Collaudo / consegna dell’opera</w:t>
            </w:r>
          </w:p>
        </w:tc>
        <w:tc>
          <w:tcPr>
            <w:tcW w:type="dxa" w:w="203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37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305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08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>Messa in esercizio, consegna chiavi</w:t>
            </w:r>
          </w:p>
        </w:tc>
        <w:tc>
          <w:tcPr>
            <w:tcW w:type="dxa" w:w="203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37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305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08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37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305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after="100" w:before="240"/>
      </w:pPr>
      <w:r>
        <w:rPr>
          <w:rFonts w:ascii="Arial" w:cs="Arial" w:eastAsia="Arial" w:hAnsi="Arial"/>
          <w:b/>
          <w:bCs/>
          <w:color w:val="0F172A"/>
          <w:sz w:val="22"/>
          <w:szCs w:val="22"/>
        </w:rPr>
        <w:t xml:space="preserve">Prima di inviare il cronoprogramma</w:t>
      </w:r>
    </w:p>
    <w:p>
      <w:pPr>
        <w:spacing w:after="80" w:before="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☐  Termini del contratto d’appalto e date del committente riportati come scadenze</w:t>
      </w:r>
    </w:p>
    <w:p>
      <w:pPr>
        <w:spacing w:after="80" w:before="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☐  Festivi del luogo del cantiere e ferie edili inseriti</w:t>
      </w:r>
    </w:p>
    <w:p>
      <w:pPr>
        <w:spacing w:after="80" w:before="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☐  Tempi di asciugatura, consegne di materiale e autorizzazioni considerati</w:t>
      </w:r>
    </w:p>
    <w:p>
      <w:pPr>
        <w:spacing w:after="80" w:before="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☐  Ogni fase ha un responsabile (impresa o squadra) e una dipendenza chiara</w:t>
      </w:r>
    </w:p>
    <w:p>
      <w:pPr>
        <w:spacing w:after="80" w:before="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☐  Riserva per intemperie prevista sui lavori all’esterno</w:t>
      </w:r>
    </w:p>
    <w:p>
      <w:pPr>
        <w:spacing w:after="80" w:before="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☐  Versione e data indicate, cronoprogramma inviato a tutte le imprese coinvolte</w:t>
      </w:r>
    </w:p>
    <w:p>
      <w:pPr>
        <w:keepNext/>
        <w:spacing w:after="100" w:before="240"/>
      </w:pPr>
      <w:r>
        <w:rPr>
          <w:rFonts w:ascii="Arial" w:cs="Arial" w:eastAsia="Arial" w:hAnsi="Arial"/>
          <w:b/>
          <w:bCs/>
          <w:color w:val="0F172A"/>
          <w:sz w:val="22"/>
          <w:szCs w:val="22"/>
        </w:rPr>
        <w:t xml:space="preserve">Note, ipotesi, modifiche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570"/>
      </w:tblGrid>
      <w:tr>
        <w:trPr>
          <w:trHeight w:val="400" w:hRule="atLeast"/>
        </w:trPr>
        <w:tc>
          <w:tcPr>
            <w:tcW w:type="dxa" w:w="14570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4570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4570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4570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240"/>
      </w:pPr>
      <w:r>
        <w:rPr>
          <w:rFonts w:ascii="Arial" w:cs="Arial" w:eastAsia="Arial" w:hAnsi="Arial"/>
          <w:color w:val="64748B"/>
          <w:sz w:val="18"/>
          <w:szCs w:val="18"/>
        </w:rPr>
        <w:t xml:space="preserve">Il cronoprogramma è uno strumento di coordinamento. I termini vincolanti sono quelli del contratto d’appalto e delle sue aggiunte.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85"/>
        <w:gridCol w:w="7285"/>
      </w:tblGrid>
      <w:tr>
        <w:tc>
          <w:tcPr>
            <w:tcW w:type="dxa" w:w="72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Redatto da (impresa)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Data, firma</w:t>
            </w:r>
          </w:p>
        </w:tc>
        <w:tc>
          <w:tcPr>
            <w:tcW w:type="dxa" w:w="72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Presa visione (direzione lavori)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Data, firma</w:t>
            </w:r>
          </w:p>
        </w:tc>
      </w:tr>
    </w:tbl>
    <w:p>
      <w:pPr>
        <w:spacing w:after="0" w:before="200"/>
      </w:pPr>
      <w:r>
        <w:rPr>
          <w:rFonts w:ascii="Arial" w:cs="Arial" w:eastAsia="Arial" w:hAnsi="Arial"/>
          <w:color w:val="64748B"/>
          <w:sz w:val="14"/>
          <w:szCs w:val="14"/>
        </w:rPr>
        <w:t xml:space="preserve">Giorni lavorativi = da lunedì a venerdì (funzione NETWORKDAYS / GIORNI.LAVORATIVI.TOT), meno le date inserite come festivi. I festivi precompilati sono quelli legali ticinesi che nel 2027 cadono in un giorno feriale; fa stato il luogo del cantiere.</w:t>
      </w:r>
    </w:p>
    <w:p>
      <w:pPr>
        <w:spacing w:after="0" w:before="200"/>
      </w:pPr>
      <w:r>
        <w:rPr>
          <w:rFonts w:ascii="Arial" w:cs="Arial" w:eastAsia="Arial" w:hAnsi="Arial"/>
          <w:color w:val="64748B"/>
          <w:sz w:val="14"/>
          <w:szCs w:val="14"/>
        </w:rPr>
        <w:t xml:space="preserve">Durata massima settimanale per edilizia e artigianato: 50 ore (art. 9 LL). Il cronoprogramma non sostituisce il piano delle squadre né la registrazione del tempo di lavoro (art. 46 LL, art. 73 OLL 1).</w:t>
      </w:r>
    </w:p>
    <w:sectPr>
      <w:footerReference w:type="default" r:id="rId7"/>
      <w:pgSz w:w="16838" w:h="11906" w:orient="landscape"/>
      <w:pgMar w:top="1134" w:right="1134" w:bottom="1134" w:left="1134" w:header="708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drawing>
        <wp:inline distT="0" distB="0" distL="0" distR="0">
          <wp:extent cx="733425" cy="133350"/>
          <wp:effectExtent t="0" r="0" b="0" l="0"/>
          <wp:docPr id="1" name="Baunex" descr="Baunex Logo" title="Baune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133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64748B"/>
        <w:sz w:val="14"/>
        <w:szCs w:val="14"/>
      </w:rPr>
      <w:t xml:space="preserve">   Modello di baunex.ch – in digitale nell'app Baunex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dda97babc14b4a49c476c977680cbc96aa9390b6.png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Cronoprogramma lavori (Gantt)</dc:title>
  <dc:creator>Baunex (baunex.ch)</dc:creator>
  <dc:description>Cronoprogramma su 12 settimane: una riga per fase o lavorazione, inizio, fine e dipendenza. Excel calcola i giorni lavorativi (festivi dedotti) e segna le settimane interessate.</dc:description>
  <cp:lastModifiedBy>Baunex</cp:lastModifiedBy>
  <cp:revision>1</cp:revision>
  <dcterms:created xsi:type="dcterms:W3CDTF">2026-01-01T00:00:00Z</dcterms:created>
  <dcterms:modified xsi:type="dcterms:W3CDTF">2026-01-01T00:00:00Z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